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E263" w14:textId="1A28EDDE" w:rsidR="00A5160C" w:rsidRPr="00A5160C" w:rsidRDefault="00A5160C">
      <w:pPr>
        <w:rPr>
          <w:sz w:val="28"/>
          <w:szCs w:val="28"/>
        </w:rPr>
      </w:pPr>
      <w:r>
        <w:rPr>
          <w:sz w:val="28"/>
          <w:szCs w:val="28"/>
        </w:rPr>
        <w:t>In collaboration with Bainbridge Memorial Hospital and Manor, Obstetrics and Gynecology Services are provided Wednesdays from 1:00pm to 4:00pm.</w:t>
      </w:r>
    </w:p>
    <w:sectPr w:rsidR="00A5160C" w:rsidRPr="00A5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0C"/>
    <w:rsid w:val="001169CB"/>
    <w:rsid w:val="00A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2296"/>
  <w15:chartTrackingRefBased/>
  <w15:docId w15:val="{3360F7EA-65CB-498F-BF62-B41345C4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Kahl</dc:creator>
  <cp:keywords/>
  <dc:description/>
  <cp:lastModifiedBy>Meredith Kahl</cp:lastModifiedBy>
  <cp:revision>1</cp:revision>
  <dcterms:created xsi:type="dcterms:W3CDTF">2024-02-28T16:25:00Z</dcterms:created>
  <dcterms:modified xsi:type="dcterms:W3CDTF">2024-02-28T16:27:00Z</dcterms:modified>
</cp:coreProperties>
</file>